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C83C6"/>
          <w:sz w:val="18"/>
        </w:rPr>
        <w:t>HUMAN-CENTRED QUALITY | WORKING PRACTICE</w:t>
      </w:r>
    </w:p>
    <w:p>
      <w:pPr>
        <w:pStyle w:val="Title"/>
      </w:pPr>
      <w:r>
        <w:t>Professional Expressions</w:t>
      </w:r>
    </w:p>
    <w:p>
      <w:pPr>
        <w:pStyle w:val="Subtitle"/>
      </w:pPr>
      <w:r>
        <w:t>Emerging Comparator v0.1</w:t>
      </w:r>
    </w:p>
    <w:p>
      <w:pPr>
        <w:jc w:val="left"/>
      </w:pPr>
      <w:r>
        <w:rPr>
          <w:b/>
          <w:sz w:val="30"/>
        </w:rPr>
        <w:t>Same Practices. Different professional vantage points.</w:t>
      </w:r>
    </w:p>
    <w:p>
      <w:r>
        <w:t>Test Analyst, Test Manager and Test Architect are presented together to make visible what appears common - and what changes as proximity to evidence, scope and professional responsibility change.</w:t>
      </w:r>
    </w:p>
    <w:p>
      <w:pPr>
        <w:pStyle w:val="Heading1"/>
      </w:pPr>
      <w:r>
        <w:t>Why compare?</w:t>
      </w:r>
    </w:p>
    <w:p>
      <w:r>
        <w:t>The purpose is not to define three testing roles. It is to test whether Observe -&gt; Interpret -&gt; Understand -&gt; Judge -&gt; Improve -&gt; Steward remains recognisable across different professional perspectives. These are working propositions intended to stimulate use, challenge and contribution.</w:t>
      </w:r>
    </w:p>
    <w:p>
      <w:r>
        <w:t>No role owns a Practice and there is no hierarchy implied. A Test Analyst can make the observation without which systemic interpretation is impossible; a Test Architect can expose relationships invisible from one execution; a Test Manager can help bring perspectives together for consequential judgement.</w:t>
      </w:r>
    </w:p>
    <w:p>
      <w:pPr>
        <w:pStyle w:val="Heading1"/>
      </w:pPr>
      <w:r>
        <w:t>The three lenses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456"/>
          </w:tcPr>
          <w:p>
            <w:r>
              <w:t>Test Analyst</w:t>
            </w:r>
          </w:p>
        </w:tc>
        <w:tc>
          <w:tcPr>
            <w:tcW w:type="dxa" w:w="3456"/>
          </w:tcPr>
          <w:p>
            <w:r>
              <w:t>Test Manager</w:t>
            </w:r>
          </w:p>
        </w:tc>
        <w:tc>
          <w:tcPr>
            <w:tcW w:type="dxa" w:w="3456"/>
          </w:tcPr>
          <w:p>
            <w:r>
              <w:t>Test Architect</w:t>
            </w:r>
          </w:p>
        </w:tc>
      </w:tr>
      <w:tr>
        <w:trPr>
          <w:cantSplit/>
        </w:trPr>
        <w:tc>
          <w:tcPr>
            <w:tcW w:type="dxa" w:w="3456"/>
          </w:tcPr>
          <w:p>
            <w:r>
              <w:t>Close to behaviour, evidence, journeys and discovery.</w:t>
            </w:r>
          </w:p>
        </w:tc>
        <w:tc>
          <w:tcPr>
            <w:tcW w:type="dxa" w:w="3456"/>
          </w:tcPr>
          <w:p>
            <w:r>
              <w:t>Close to collective understanding, judgement, people and delivery leadership.</w:t>
            </w:r>
          </w:p>
        </w:tc>
        <w:tc>
          <w:tcPr>
            <w:tcW w:type="dxa" w:w="3456"/>
          </w:tcPr>
          <w:p>
            <w:r>
              <w:t>Close to systems, systemic relationships, testability and longer-horizon quality strategy.</w:t>
            </w:r>
          </w:p>
        </w:tc>
      </w:tr>
    </w:tbl>
    <w:p>
      <w:pPr>
        <w:pStyle w:val="Heading1"/>
        <w:pageBreakBefore/>
      </w:pPr>
      <w:r>
        <w:t>One Practice Model, three professional expressions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Practice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Test Analyst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Test Manager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Test Architect</w:t>
            </w:r>
          </w:p>
        </w:tc>
      </w:tr>
      <w:tr>
        <w:trPr>
          <w:cantSplit/>
        </w:trPr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Observe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is actually happening?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are we collectively seeing?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systemic behaviour or constraint is emerging?</w:t>
            </w:r>
          </w:p>
        </w:tc>
      </w:tr>
      <w:tr>
        <w:trPr>
          <w:cantSplit/>
        </w:trPr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Interpret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might this behaviour mean?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explanations and perspectives need consideration?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might this reveal about systems, architecture or our ability to test them?</w:t>
            </w:r>
          </w:p>
        </w:tc>
      </w:tr>
      <w:tr>
        <w:trPr>
          <w:cantSplit/>
        </w:trPr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Understand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best explains the evidence I am examining?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do we collectively understand sufficiently to support responsible decisions?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systemic explanation connects the evidence across boundaries?</w:t>
            </w:r>
          </w:p>
        </w:tc>
      </w:tr>
      <w:tr>
        <w:trPr>
          <w:cantSplit/>
        </w:trPr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Judge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is significant enough to investigate, challenge or surface?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does our understanding mean for action and decision?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does this mean for quality architecture, strategy and investment?</w:t>
            </w:r>
          </w:p>
        </w:tc>
      </w:tr>
      <w:tr>
        <w:trPr>
          <w:cantSplit/>
        </w:trPr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Improve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can become better because of what I discovered?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should become better because of what we learned?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systemic conditions should change so quality becomes easier to understand and assure?</w:t>
            </w:r>
          </w:p>
        </w:tc>
      </w:tr>
      <w:tr>
        <w:trPr>
          <w:cantSplit/>
        </w:trPr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Steward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should another practitioner benefit from discovering here?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should survive this project, team or decision?</w:t>
            </w:r>
          </w:p>
        </w:tc>
        <w:tc>
          <w:tcPr>
            <w:tcW w:type="dxa" w:w="2592"/>
            <w:vAlign w:val="top"/>
          </w:tcPr>
          <w:p>
            <w:pPr>
              <w:spacing w:after="40"/>
            </w:pPr>
            <w:r>
              <w:rPr>
                <w:sz w:val="16"/>
              </w:rPr>
              <w:t>What architectural knowledge or pattern should influence future systems and quality approaches?</w:t>
            </w:r>
          </w:p>
        </w:tc>
      </w:tr>
    </w:tbl>
    <w:p>
      <w:pPr>
        <w:pStyle w:val="Heading1"/>
      </w:pPr>
      <w:r>
        <w:t>What the comparison is beginning to show</w:t>
      </w:r>
    </w:p>
    <w:p>
      <w:pPr>
        <w:pStyle w:val="ListBullet"/>
      </w:pPr>
      <w:r>
        <w:t>The Practices can remain common while their expression changes with professional vantage point.</w:t>
      </w:r>
    </w:p>
    <w:p>
      <w:pPr>
        <w:pStyle w:val="ListBullet"/>
      </w:pPr>
      <w:r>
        <w:t>Proximity to evidence changes emphasis: the Test Analyst often starts close to observed behaviour; the Test Architect often connects evidence across boundaries; the Test Manager often works across people, uncertainty and decision.</w:t>
      </w:r>
    </w:p>
    <w:p>
      <w:pPr>
        <w:pStyle w:val="ListBullet"/>
      </w:pPr>
      <w:r>
        <w:t>The HCQ Record can provide a shared, durable place for attributed contributions without becoming a role-owned workflow.</w:t>
      </w:r>
    </w:p>
    <w:p>
      <w:pPr>
        <w:pStyle w:val="ListBullet"/>
      </w:pPr>
      <w:r>
        <w:t>Difference is useful evidence. If a Practice has to be forced to fit a role, the emerging HCQ model should be challenged.</w:t>
      </w:r>
    </w:p>
    <w:p>
      <w:pPr>
        <w:pStyle w:val="Heading1"/>
      </w:pPr>
      <w:r>
        <w:t>One record - multiple expressions</w:t>
      </w:r>
    </w:p>
    <w:p>
      <w:r>
        <w:t>A Test Analyst may record: 'This is what I saw.' A Test Architect may add: 'This resembles a systemic relationship across services.' A Test Manager may help establish: 'This is what our current understanding means for the decision.' Other roles and disciplines may contribute at any point. The record belongs to the developing understanding, not to a job title.</w:t>
      </w:r>
    </w:p>
    <w:p>
      <w:pPr>
        <w:pStyle w:val="Heading1"/>
      </w:pPr>
      <w:r>
        <w:t>Test Lead remains deliberately open</w:t>
      </w:r>
    </w:p>
    <w:p>
      <w:r>
        <w:t>The absence of a Test Lead expression from this comparator is intentional. HCQ should not fill every box simply to make the model look complete. The visible gap is an invitation: what should remain common, and what changes when the professional lens is Test Lead?</w:t>
      </w:r>
    </w:p>
    <w:p>
      <w:pPr>
        <w:pStyle w:val="Heading1"/>
        <w:pageBreakBefore/>
      </w:pPr>
      <w:r>
        <w:t>How to use this comparator</w:t>
      </w:r>
    </w:p>
    <w:p>
      <w:pPr>
        <w:pStyle w:val="ListNumber"/>
      </w:pPr>
      <w:r>
        <w:t>Choose one real quality concern.</w:t>
      </w:r>
    </w:p>
    <w:p>
      <w:pPr>
        <w:pStyle w:val="ListNumber"/>
      </w:pPr>
      <w:r>
        <w:t>Look at it through one of the three working expressions.</w:t>
      </w:r>
    </w:p>
    <w:p>
      <w:pPr>
        <w:pStyle w:val="ListNumber"/>
      </w:pPr>
      <w:r>
        <w:t>Notice whether the six Practices help make the development of understanding more visible.</w:t>
      </w:r>
    </w:p>
    <w:p>
      <w:pPr>
        <w:pStyle w:val="ListNumber"/>
      </w:pPr>
      <w:r>
        <w:t>Compare what changes when another professional lens is applied.</w:t>
      </w:r>
    </w:p>
    <w:p>
      <w:pPr>
        <w:pStyle w:val="ListNumber"/>
      </w:pPr>
      <w:r>
        <w:t>Contribute what survives contact with practice - and what does not.</w:t>
      </w:r>
    </w:p>
    <w:p>
      <w:pPr>
        <w:pStyle w:val="Heading1"/>
      </w:pPr>
      <w:r>
        <w:t>Contribution questions</w:t>
      </w:r>
    </w:p>
    <w:p>
      <w:r>
        <w:t>Does this resemble the work you practise? What is missing? What is overstated? Which distinction becomes useful? Which becomes administration? What would you change before another practitioner tried it?</w:t>
      </w:r>
    </w:p>
    <w:p>
      <w:r>
        <w:rPr>
          <w:b/>
        </w:rPr>
        <w:t>Working proposition: before assessing capability, make the Practice visible. Before declaring maturity, develop understanding of what is actually being practised.</w:t>
      </w:r>
    </w:p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0D365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2C83C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071D3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